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EEE" w:rsidRPr="00743EEE" w:rsidRDefault="00743EEE" w:rsidP="00743EEE">
      <w:pPr>
        <w:jc w:val="center"/>
        <w:rPr>
          <w:b/>
        </w:rPr>
      </w:pPr>
      <w:bookmarkStart w:id="0" w:name="_Toc444777098"/>
      <w:r w:rsidRPr="00743EEE">
        <w:rPr>
          <w:b/>
        </w:rPr>
        <w:t>Incident/Hazard Reporting &amp; Investigation Form</w:t>
      </w:r>
      <w:bookmarkEnd w:id="0"/>
    </w:p>
    <w:p w:rsidR="00743EEE" w:rsidRPr="001941F1" w:rsidRDefault="00743EEE" w:rsidP="00743EEE">
      <w:r w:rsidRPr="001941F1">
        <w:t xml:space="preserve">Please print off form </w:t>
      </w:r>
      <w:r w:rsidRPr="001941F1">
        <w:rPr>
          <w:u w:val="single"/>
        </w:rPr>
        <w:t>and</w:t>
      </w:r>
      <w:r w:rsidRPr="001941F1">
        <w:t xml:space="preserve"> refer to “Incident/Hazard Reporting and Investigation Policy and Procedure” and forward to the Human Resources Manager within 24 hours of incident occurrence.</w:t>
      </w: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774"/>
      </w:tblGrid>
      <w:tr w:rsidR="00743EEE" w:rsidRPr="00743EEE" w:rsidTr="002B71ED">
        <w:tc>
          <w:tcPr>
            <w:tcW w:w="8222" w:type="dxa"/>
            <w:gridSpan w:val="2"/>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Use this form to record and investigate:</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Incident:</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An accident, dangerous occurrence, or near miss.</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Accident</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An incident that results in personal injury (physical or psychological).</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Dangerous Occurrence</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An incident that results in damage to equipment/machinery, property or facilities; or one that involves dangerous substances; and places a person's health and safety at risk.</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Near Miss:</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An incident/event which had the potential to cause personal injury or damage to equipment/machinery, property or facilities.</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Hazard</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A condition or situation which has the potential to cause injury.</w:t>
            </w:r>
          </w:p>
        </w:tc>
      </w:tr>
      <w:tr w:rsidR="00743EEE" w:rsidRPr="001941F1" w:rsidTr="002B71ED">
        <w:tc>
          <w:tcPr>
            <w:tcW w:w="3448" w:type="dxa"/>
            <w:tcBorders>
              <w:top w:val="single" w:sz="4" w:space="0" w:color="auto"/>
              <w:left w:val="single" w:sz="4" w:space="0" w:color="auto"/>
              <w:bottom w:val="single" w:sz="4" w:space="0" w:color="auto"/>
              <w:right w:val="single" w:sz="4" w:space="0" w:color="auto"/>
            </w:tcBorders>
            <w:hideMark/>
          </w:tcPr>
          <w:p w:rsidR="00743EEE" w:rsidRPr="00743EEE" w:rsidRDefault="00743EEE" w:rsidP="00743EEE">
            <w:pPr>
              <w:rPr>
                <w:b/>
              </w:rPr>
            </w:pPr>
            <w:r w:rsidRPr="00743EEE">
              <w:rPr>
                <w:b/>
              </w:rPr>
              <w:t>Medical Treatment:</w:t>
            </w:r>
          </w:p>
        </w:tc>
        <w:tc>
          <w:tcPr>
            <w:tcW w:w="4774"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pPr>
              <w:rPr>
                <w:b/>
              </w:rPr>
            </w:pPr>
            <w:r w:rsidRPr="001941F1">
              <w:t>Treatment by a registered medical practitioner.</w:t>
            </w:r>
          </w:p>
        </w:tc>
      </w:tr>
    </w:tbl>
    <w:p w:rsidR="00743EEE" w:rsidRPr="001941F1" w:rsidRDefault="00743EEE" w:rsidP="00743EEE">
      <w:r w:rsidRPr="001941F1">
        <w:t>Checklist:</w:t>
      </w:r>
    </w:p>
    <w:p w:rsidR="00743EEE" w:rsidRPr="001941F1" w:rsidRDefault="00743EEE" w:rsidP="00743EEE">
      <w:pPr>
        <w:rPr>
          <w:bCs/>
        </w:rPr>
      </w:pPr>
      <w:r w:rsidRPr="001941F1">
        <w:t xml:space="preserve">Familiarise with “Incident/Hazard Reporting and Investigation Policy and Procedure” </w:t>
      </w:r>
    </w:p>
    <w:p w:rsidR="00743EEE" w:rsidRPr="001941F1" w:rsidRDefault="00743EEE" w:rsidP="00743EEE">
      <w:pPr>
        <w:rPr>
          <w:bCs/>
        </w:rPr>
      </w:pPr>
      <w:r w:rsidRPr="001941F1">
        <w:t>OH&amp;S Representative advised</w:t>
      </w:r>
    </w:p>
    <w:p w:rsidR="00743EEE" w:rsidRPr="001941F1" w:rsidRDefault="00743EEE" w:rsidP="00743EEE">
      <w:r w:rsidRPr="001941F1">
        <w:t>Section A completed by employee/contractor (supervisor may assist)</w:t>
      </w:r>
    </w:p>
    <w:p w:rsidR="00743EEE" w:rsidRPr="001941F1" w:rsidRDefault="00743EEE" w:rsidP="00743EEE">
      <w:r w:rsidRPr="001941F1">
        <w:t>Section B completed by Supervisor</w:t>
      </w:r>
    </w:p>
    <w:p w:rsidR="00743EEE" w:rsidRPr="001941F1" w:rsidRDefault="00743EEE" w:rsidP="00743EEE">
      <w:r w:rsidRPr="001941F1">
        <w:t>Section C completed by Supervisor</w:t>
      </w:r>
    </w:p>
    <w:p w:rsidR="00743EEE" w:rsidRPr="001941F1" w:rsidRDefault="00743EEE" w:rsidP="00743EEE">
      <w:r w:rsidRPr="001941F1">
        <w:t>Section D – name, signature, date &amp; distribution action to be taken</w:t>
      </w:r>
    </w:p>
    <w:p w:rsidR="00743EEE" w:rsidRPr="001941F1" w:rsidRDefault="00743EEE" w:rsidP="00743EEE">
      <w:r w:rsidRPr="001941F1">
        <w:t>Section E – Human Resources Manager</w:t>
      </w:r>
    </w:p>
    <w:p w:rsidR="00743EEE" w:rsidRPr="00743EEE" w:rsidRDefault="00743EEE" w:rsidP="00743EEE">
      <w:pPr>
        <w:rPr>
          <w:b/>
        </w:rPr>
      </w:pPr>
      <w:r w:rsidRPr="001941F1">
        <w:br w:type="page"/>
      </w:r>
      <w:r w:rsidRPr="00743EEE">
        <w:rPr>
          <w:b/>
        </w:rPr>
        <w:lastRenderedPageBreak/>
        <w:t>Useful information</w:t>
      </w:r>
    </w:p>
    <w:p w:rsidR="00743EEE" w:rsidRPr="001941F1" w:rsidRDefault="00743EEE" w:rsidP="00743EEE">
      <w:r w:rsidRPr="001941F1">
        <w:t>When considering the description of the incident (Section B of this form) the following contributing factors should be considered: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743EEE" w:rsidRPr="001941F1" w:rsidTr="00743EEE">
        <w:tc>
          <w:tcPr>
            <w:tcW w:w="4261" w:type="dxa"/>
            <w:hideMark/>
          </w:tcPr>
          <w:p w:rsidR="00743EEE" w:rsidRPr="001941F1" w:rsidRDefault="00743EEE" w:rsidP="00743EEE">
            <w:r w:rsidRPr="001941F1">
              <w:t>Worker behaviour / Experience</w:t>
            </w:r>
          </w:p>
        </w:tc>
        <w:tc>
          <w:tcPr>
            <w:tcW w:w="4261" w:type="dxa"/>
            <w:hideMark/>
          </w:tcPr>
          <w:p w:rsidR="00743EEE" w:rsidRPr="001941F1" w:rsidRDefault="00743EEE" w:rsidP="00743EEE">
            <w:r w:rsidRPr="001941F1">
              <w:t>Machinery/Equipment/Substances</w:t>
            </w:r>
          </w:p>
        </w:tc>
      </w:tr>
      <w:tr w:rsidR="00743EEE" w:rsidRPr="001941F1" w:rsidTr="00743EEE">
        <w:tc>
          <w:tcPr>
            <w:tcW w:w="4261" w:type="dxa"/>
            <w:hideMark/>
          </w:tcPr>
          <w:p w:rsidR="00743EEE" w:rsidRPr="001941F1" w:rsidRDefault="00743EEE" w:rsidP="00743EEE">
            <w:r w:rsidRPr="001941F1">
              <w:t>Training/Instruction/supervision</w:t>
            </w:r>
          </w:p>
        </w:tc>
        <w:tc>
          <w:tcPr>
            <w:tcW w:w="4261" w:type="dxa"/>
            <w:hideMark/>
          </w:tcPr>
          <w:p w:rsidR="00743EEE" w:rsidRPr="001941F1" w:rsidRDefault="00743EEE" w:rsidP="00743EEE">
            <w:r w:rsidRPr="001941F1">
              <w:t>Worksite design/layout/condition</w:t>
            </w:r>
          </w:p>
        </w:tc>
      </w:tr>
      <w:tr w:rsidR="00743EEE" w:rsidRPr="001941F1" w:rsidTr="00743EEE">
        <w:tc>
          <w:tcPr>
            <w:tcW w:w="4261" w:type="dxa"/>
            <w:hideMark/>
          </w:tcPr>
          <w:p w:rsidR="00743EEE" w:rsidRPr="001941F1" w:rsidRDefault="00743EEE" w:rsidP="00743EEE">
            <w:r w:rsidRPr="001941F1">
              <w:t>Work practices/procedures</w:t>
            </w:r>
          </w:p>
        </w:tc>
        <w:tc>
          <w:tcPr>
            <w:tcW w:w="4261" w:type="dxa"/>
            <w:hideMark/>
          </w:tcPr>
          <w:p w:rsidR="00743EEE" w:rsidRPr="001941F1" w:rsidRDefault="00743EEE" w:rsidP="00743EEE">
            <w:r w:rsidRPr="001941F1">
              <w:t>Temperature/weather/lighting/noise-level/housekeeping/Personal protective equipment</w:t>
            </w:r>
          </w:p>
        </w:tc>
      </w:tr>
    </w:tbl>
    <w:p w:rsidR="00743EEE" w:rsidRPr="00743EEE" w:rsidRDefault="00743EEE" w:rsidP="00743EEE">
      <w:pPr>
        <w:rPr>
          <w:b/>
        </w:rPr>
      </w:pPr>
      <w:r w:rsidRPr="00743EEE">
        <w:rPr>
          <w:b/>
        </w:rPr>
        <w:t>Risk control:</w:t>
      </w:r>
    </w:p>
    <w:p w:rsidR="00743EEE" w:rsidRPr="001941F1" w:rsidRDefault="00743EEE" w:rsidP="00743EEE">
      <w:r w:rsidRPr="001941F1">
        <w:t>Minimising the risk of the incident reoccurrence is important.  Consideration should be given to the following (see Section C) to determine actions to be taken to eliminate or minimise the risks/contributing factors.  The following are “hierarchy of controls”: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5"/>
        <w:gridCol w:w="1648"/>
        <w:gridCol w:w="888"/>
        <w:gridCol w:w="1021"/>
      </w:tblGrid>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Risk Controls</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Priority</w:t>
            </w:r>
          </w:p>
        </w:tc>
        <w:tc>
          <w:tcPr>
            <w:tcW w:w="88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Who</w:t>
            </w:r>
          </w:p>
        </w:tc>
        <w:tc>
          <w:tcPr>
            <w:tcW w:w="1021"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When</w:t>
            </w:r>
          </w:p>
        </w:tc>
      </w:tr>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rPr>
                <w:i/>
                <w:iCs/>
              </w:rPr>
              <w:t>Elimination</w:t>
            </w:r>
            <w:r w:rsidRPr="001941F1">
              <w:t xml:space="preserve"> of the hazard is the most desirable control measure.  For example, removal of equipment that has damaged or exposed wires.</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Low</w:t>
            </w:r>
          </w:p>
          <w:p w:rsidR="00743EEE" w:rsidRPr="001941F1" w:rsidRDefault="00743EEE" w:rsidP="00743EEE">
            <w:r w:rsidRPr="001941F1">
              <w:t>Medium</w:t>
            </w:r>
          </w:p>
          <w:p w:rsidR="00743EEE" w:rsidRPr="001941F1" w:rsidRDefault="00743EEE" w:rsidP="00743EEE">
            <w:r w:rsidRPr="001941F1">
              <w:t>High</w:t>
            </w:r>
          </w:p>
        </w:tc>
        <w:tc>
          <w:tcPr>
            <w:tcW w:w="888"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c>
          <w:tcPr>
            <w:tcW w:w="1021"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r>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rPr>
                <w:i/>
                <w:iCs/>
              </w:rPr>
              <w:t>Substitution</w:t>
            </w:r>
            <w:r w:rsidRPr="001941F1">
              <w:t xml:space="preserve"> with less hazardous equipment, substances or work practices.  For example, the provision of lifting equipment and trolleys to assist in manual handling tasks.</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Low</w:t>
            </w:r>
          </w:p>
          <w:p w:rsidR="00743EEE" w:rsidRPr="001941F1" w:rsidRDefault="00743EEE" w:rsidP="00743EEE">
            <w:r w:rsidRPr="001941F1">
              <w:t>Medium</w:t>
            </w:r>
          </w:p>
          <w:p w:rsidR="00743EEE" w:rsidRPr="001941F1" w:rsidRDefault="00743EEE" w:rsidP="00743EEE">
            <w:r w:rsidRPr="001941F1">
              <w:t>High</w:t>
            </w:r>
          </w:p>
        </w:tc>
        <w:tc>
          <w:tcPr>
            <w:tcW w:w="888"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c>
          <w:tcPr>
            <w:tcW w:w="1021"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r>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rPr>
                <w:i/>
                <w:iCs/>
              </w:rPr>
              <w:t>Engineering controls</w:t>
            </w:r>
            <w:r w:rsidRPr="001941F1">
              <w:t xml:space="preserve"> are measures which may be taken to minimise the dangers of using equipment which cannot be replaced or removed.  For example, the risk of cutting fingers can be reduced by the provision of a guard.</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Low</w:t>
            </w:r>
          </w:p>
          <w:p w:rsidR="00743EEE" w:rsidRPr="001941F1" w:rsidRDefault="00743EEE" w:rsidP="00743EEE">
            <w:r w:rsidRPr="001941F1">
              <w:t>Medium</w:t>
            </w:r>
          </w:p>
          <w:p w:rsidR="00743EEE" w:rsidRPr="001941F1" w:rsidRDefault="00743EEE" w:rsidP="00743EEE">
            <w:r w:rsidRPr="001941F1">
              <w:t>High</w:t>
            </w:r>
          </w:p>
        </w:tc>
        <w:tc>
          <w:tcPr>
            <w:tcW w:w="888"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c>
          <w:tcPr>
            <w:tcW w:w="1021"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r>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rPr>
                <w:i/>
                <w:iCs/>
              </w:rPr>
              <w:t>Administrative controls</w:t>
            </w:r>
            <w:r w:rsidRPr="001941F1">
              <w:t xml:space="preserve"> involve the drafting of work practices and procedures to control hazards that cannot be controlled through elimination, substitution or engineering.  Administrative controls </w:t>
            </w:r>
            <w:r w:rsidRPr="001941F1">
              <w:lastRenderedPageBreak/>
              <w:t xml:space="preserve">can also be considered to compliment other control measures.  </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lastRenderedPageBreak/>
              <w:t>Low</w:t>
            </w:r>
          </w:p>
          <w:p w:rsidR="00743EEE" w:rsidRPr="001941F1" w:rsidRDefault="00743EEE" w:rsidP="00743EEE">
            <w:r w:rsidRPr="001941F1">
              <w:t>Medium</w:t>
            </w:r>
          </w:p>
          <w:p w:rsidR="00743EEE" w:rsidRPr="001941F1" w:rsidRDefault="00743EEE" w:rsidP="00743EEE">
            <w:r w:rsidRPr="001941F1">
              <w:lastRenderedPageBreak/>
              <w:t>High</w:t>
            </w:r>
          </w:p>
        </w:tc>
        <w:tc>
          <w:tcPr>
            <w:tcW w:w="888"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c>
          <w:tcPr>
            <w:tcW w:w="1021"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r>
      <w:tr w:rsidR="00743EEE" w:rsidRPr="001941F1" w:rsidTr="002B71ED">
        <w:tc>
          <w:tcPr>
            <w:tcW w:w="4965"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rPr>
                <w:i/>
                <w:iCs/>
              </w:rPr>
              <w:lastRenderedPageBreak/>
              <w:t>Personal protective equipment</w:t>
            </w:r>
            <w:r w:rsidRPr="001941F1">
              <w:t xml:space="preserve"> may be necessary in some cases but should be the last option following consideration of the above control measures.  For example wearing hearing protection. </w:t>
            </w:r>
          </w:p>
        </w:tc>
        <w:tc>
          <w:tcPr>
            <w:tcW w:w="1648" w:type="dxa"/>
            <w:tcBorders>
              <w:top w:val="single" w:sz="4" w:space="0" w:color="auto"/>
              <w:left w:val="single" w:sz="4" w:space="0" w:color="auto"/>
              <w:bottom w:val="single" w:sz="4" w:space="0" w:color="auto"/>
              <w:right w:val="single" w:sz="4" w:space="0" w:color="auto"/>
            </w:tcBorders>
            <w:hideMark/>
          </w:tcPr>
          <w:p w:rsidR="00743EEE" w:rsidRPr="001941F1" w:rsidRDefault="00743EEE" w:rsidP="00743EEE">
            <w:r w:rsidRPr="001941F1">
              <w:t>Low</w:t>
            </w:r>
          </w:p>
          <w:p w:rsidR="00743EEE" w:rsidRPr="001941F1" w:rsidRDefault="00743EEE" w:rsidP="00743EEE">
            <w:r w:rsidRPr="001941F1">
              <w:t>Medium</w:t>
            </w:r>
          </w:p>
          <w:p w:rsidR="00743EEE" w:rsidRPr="001941F1" w:rsidRDefault="00743EEE" w:rsidP="00743EEE">
            <w:r w:rsidRPr="001941F1">
              <w:t>High</w:t>
            </w:r>
          </w:p>
        </w:tc>
        <w:tc>
          <w:tcPr>
            <w:tcW w:w="888"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c>
          <w:tcPr>
            <w:tcW w:w="1021" w:type="dxa"/>
            <w:tcBorders>
              <w:top w:val="single" w:sz="4" w:space="0" w:color="auto"/>
              <w:left w:val="single" w:sz="4" w:space="0" w:color="auto"/>
              <w:bottom w:val="single" w:sz="4" w:space="0" w:color="auto"/>
              <w:right w:val="single" w:sz="4" w:space="0" w:color="auto"/>
            </w:tcBorders>
          </w:tcPr>
          <w:p w:rsidR="00743EEE" w:rsidRPr="001941F1" w:rsidRDefault="00743EEE" w:rsidP="00743EEE"/>
        </w:tc>
      </w:tr>
    </w:tbl>
    <w:p w:rsidR="00ED5A91" w:rsidRDefault="007556E7" w:rsidP="00743EEE"/>
    <w:sectPr w:rsidR="00ED5A9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739F" w:rsidRDefault="0083739F" w:rsidP="00A64D5B">
      <w:pPr>
        <w:spacing w:after="0"/>
      </w:pPr>
      <w:r>
        <w:separator/>
      </w:r>
    </w:p>
  </w:endnote>
  <w:endnote w:type="continuationSeparator" w:id="0">
    <w:p w:rsidR="0083739F" w:rsidRDefault="0083739F"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A64D5B" w:rsidRPr="00DC3ACB" w:rsidTr="00AC7967">
      <w:trPr>
        <w:trHeight w:val="274"/>
      </w:trPr>
      <w:tc>
        <w:tcPr>
          <w:tcW w:w="5387" w:type="dxa"/>
        </w:tcPr>
        <w:p w:rsidR="00A64D5B" w:rsidRPr="00DC3ACB" w:rsidRDefault="007556E7" w:rsidP="00A64D5B">
          <w:pPr>
            <w:pStyle w:val="Footer"/>
            <w:rPr>
              <w:b/>
              <w:sz w:val="18"/>
            </w:rPr>
          </w:pPr>
          <w:r w:rsidRPr="007556E7">
            <w:rPr>
              <w:b/>
              <w:sz w:val="18"/>
              <w:lang w:eastAsia="en-US"/>
            </w:rPr>
            <w:t xml:space="preserve">Reviewed by: </w:t>
          </w:r>
          <w:r w:rsidRPr="007556E7">
            <w:rPr>
              <w:sz w:val="18"/>
              <w:lang w:eastAsia="en-US"/>
            </w:rPr>
            <w:t xml:space="preserve">Greg Reiffel Consulting  </w:t>
          </w:r>
          <w:r w:rsidRPr="007556E7">
            <w:rPr>
              <w:b/>
              <w:sz w:val="18"/>
              <w:lang w:eastAsia="en-US"/>
            </w:rPr>
            <w:t xml:space="preserve">Date: </w:t>
          </w:r>
          <w:r w:rsidRPr="007556E7">
            <w:rPr>
              <w:sz w:val="18"/>
              <w:lang w:eastAsia="en-US"/>
            </w:rPr>
            <w:t>5/02/2018</w:t>
          </w:r>
          <w:bookmarkStart w:id="1" w:name="_GoBack"/>
          <w:bookmarkEnd w:id="1"/>
        </w:p>
      </w:tc>
      <w:tc>
        <w:tcPr>
          <w:tcW w:w="4395" w:type="dxa"/>
        </w:tcPr>
        <w:p w:rsidR="00A64D5B" w:rsidRPr="00DC3ACB" w:rsidRDefault="00A64D5B" w:rsidP="00A64D5B">
          <w:pPr>
            <w:pStyle w:val="Footer"/>
            <w:rPr>
              <w:b/>
              <w:sz w:val="18"/>
            </w:rPr>
          </w:pPr>
          <w:r w:rsidRPr="00DC3ACB">
            <w:rPr>
              <w:b/>
              <w:sz w:val="18"/>
            </w:rPr>
            <w:t>Review:</w:t>
          </w:r>
          <w:r w:rsidRPr="00DC3ACB">
            <w:rPr>
              <w:sz w:val="18"/>
            </w:rPr>
            <w:t xml:space="preserve"> 01/02/2019 </w:t>
          </w:r>
          <w:r w:rsidRPr="00DC3ACB">
            <w:rPr>
              <w:b/>
              <w:sz w:val="18"/>
            </w:rPr>
            <w:t>Owner:</w:t>
          </w:r>
          <w:r w:rsidRPr="00DC3ACB">
            <w:rPr>
              <w:sz w:val="18"/>
            </w:rPr>
            <w:t xml:space="preserve"> Admin Manager</w:t>
          </w:r>
        </w:p>
      </w:tc>
    </w:tr>
    <w:tr w:rsidR="00A64D5B" w:rsidRPr="00DC3ACB" w:rsidTr="00AC7967">
      <w:trPr>
        <w:trHeight w:val="172"/>
      </w:trPr>
      <w:tc>
        <w:tcPr>
          <w:tcW w:w="5387" w:type="dxa"/>
        </w:tcPr>
        <w:p w:rsidR="00A64D5B" w:rsidRPr="00DC3ACB" w:rsidRDefault="00A64D5B" w:rsidP="00A64D5B">
          <w:pPr>
            <w:pStyle w:val="Footer"/>
            <w:rPr>
              <w:b/>
              <w:sz w:val="18"/>
            </w:rPr>
          </w:pPr>
          <w:r w:rsidRPr="00DC3ACB">
            <w:rPr>
              <w:sz w:val="18"/>
            </w:rPr>
            <w:t>Controlled copy available electronically</w:t>
          </w:r>
        </w:p>
      </w:tc>
      <w:tc>
        <w:tcPr>
          <w:tcW w:w="4395" w:type="dxa"/>
        </w:tcPr>
        <w:p w:rsidR="00A64D5B" w:rsidRPr="00DC3ACB" w:rsidRDefault="00A64D5B" w:rsidP="00A64D5B">
          <w:pPr>
            <w:pStyle w:val="Footer"/>
            <w:rPr>
              <w:b/>
              <w:sz w:val="18"/>
            </w:rPr>
          </w:pPr>
          <w:r w:rsidRPr="00DC3ACB">
            <w:rPr>
              <w:sz w:val="18"/>
            </w:rPr>
            <w:t xml:space="preserve">Printed copy current on day of printing only: </w:t>
          </w:r>
          <w:r w:rsidRPr="00DC3ACB">
            <w:rPr>
              <w:sz w:val="18"/>
            </w:rPr>
            <w:fldChar w:fldCharType="begin"/>
          </w:r>
          <w:r w:rsidRPr="00DC3ACB">
            <w:rPr>
              <w:sz w:val="18"/>
            </w:rPr>
            <w:instrText xml:space="preserve"> DATE \@ "d/MM/yyyy" </w:instrText>
          </w:r>
          <w:r w:rsidRPr="00DC3ACB">
            <w:rPr>
              <w:sz w:val="18"/>
            </w:rPr>
            <w:fldChar w:fldCharType="separate"/>
          </w:r>
          <w:r w:rsidR="007556E7">
            <w:rPr>
              <w:noProof/>
              <w:sz w:val="18"/>
            </w:rPr>
            <w:t>6/02/2018</w:t>
          </w:r>
          <w:r w:rsidRPr="00DC3ACB">
            <w:rPr>
              <w:sz w:val="18"/>
            </w:rPr>
            <w:fldChar w:fldCharType="end"/>
          </w:r>
        </w:p>
      </w:tc>
    </w:tr>
  </w:tbl>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7556E7">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7556E7">
      <w:rPr>
        <w:noProof/>
        <w:sz w:val="20"/>
      </w:rPr>
      <w:t>3</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739F" w:rsidRDefault="0083739F" w:rsidP="00A64D5B">
      <w:pPr>
        <w:spacing w:after="0"/>
      </w:pPr>
      <w:r>
        <w:separator/>
      </w:r>
    </w:p>
  </w:footnote>
  <w:footnote w:type="continuationSeparator" w:id="0">
    <w:p w:rsidR="0083739F" w:rsidRDefault="0083739F"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C6052"/>
    <w:multiLevelType w:val="hybridMultilevel"/>
    <w:tmpl w:val="0BA04352"/>
    <w:lvl w:ilvl="0" w:tplc="2174A67C">
      <w:start w:val="1"/>
      <w:numFmt w:val="bullet"/>
      <w:lvlText w:val="□"/>
      <w:lvlJc w:val="left"/>
      <w:pPr>
        <w:tabs>
          <w:tab w:val="num" w:pos="0"/>
        </w:tabs>
        <w:ind w:left="0" w:firstLine="0"/>
      </w:pPr>
      <w:rPr>
        <w:rFonts w:ascii="Courier" w:hAnsi="Courier"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nsid w:val="3B8E7B7F"/>
    <w:multiLevelType w:val="hybridMultilevel"/>
    <w:tmpl w:val="320ED228"/>
    <w:lvl w:ilvl="0" w:tplc="46B60E5C">
      <w:start w:val="1"/>
      <w:numFmt w:val="bullet"/>
      <w:lvlText w:val="□"/>
      <w:lvlJc w:val="left"/>
      <w:pPr>
        <w:tabs>
          <w:tab w:val="num" w:pos="0"/>
        </w:tabs>
        <w:ind w:left="0" w:firstLine="0"/>
      </w:pPr>
      <w:rPr>
        <w:rFonts w:ascii="Helvetica" w:hAnsi="Helvetica" w:cs="Times New Roman"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
    <w:nsid w:val="637E293D"/>
    <w:multiLevelType w:val="hybridMultilevel"/>
    <w:tmpl w:val="687863B6"/>
    <w:lvl w:ilvl="0" w:tplc="AEFEF8E6">
      <w:start w:val="1"/>
      <w:numFmt w:val="bullet"/>
      <w:lvlText w:val="□"/>
      <w:lvlJc w:val="left"/>
      <w:pPr>
        <w:tabs>
          <w:tab w:val="num" w:pos="0"/>
        </w:tabs>
        <w:ind w:left="0" w:firstLine="0"/>
      </w:pPr>
      <w:rPr>
        <w:rFonts w:ascii="Helvetica" w:hAnsi="Helvetica" w:cs="Times New Roman"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
    <w:nsid w:val="69CC04DA"/>
    <w:multiLevelType w:val="hybridMultilevel"/>
    <w:tmpl w:val="B33A4B06"/>
    <w:lvl w:ilvl="0" w:tplc="F00CAE3A">
      <w:start w:val="1"/>
      <w:numFmt w:val="bullet"/>
      <w:lvlText w:val="□"/>
      <w:lvlJc w:val="left"/>
      <w:pPr>
        <w:tabs>
          <w:tab w:val="num" w:pos="0"/>
        </w:tabs>
        <w:ind w:left="0" w:firstLine="0"/>
      </w:pPr>
      <w:rPr>
        <w:rFonts w:ascii="Helvetica" w:hAnsi="Helvetica" w:cs="Times New Roman" w:hint="default"/>
        <w:sz w:val="24"/>
        <w:szCs w:val="24"/>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4">
    <w:nsid w:val="7A6B3523"/>
    <w:multiLevelType w:val="hybridMultilevel"/>
    <w:tmpl w:val="80F6EA76"/>
    <w:lvl w:ilvl="0" w:tplc="21C0368E">
      <w:start w:val="1"/>
      <w:numFmt w:val="bullet"/>
      <w:lvlText w:val=""/>
      <w:lvlJc w:val="left"/>
      <w:pPr>
        <w:tabs>
          <w:tab w:val="num" w:pos="0"/>
        </w:tabs>
        <w:ind w:left="284" w:hanging="284"/>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3973B0"/>
    <w:rsid w:val="003D21C8"/>
    <w:rsid w:val="00484288"/>
    <w:rsid w:val="00743EEE"/>
    <w:rsid w:val="007556E7"/>
    <w:rsid w:val="00836310"/>
    <w:rsid w:val="0083739F"/>
    <w:rsid w:val="00A64D5B"/>
    <w:rsid w:val="00A97F5C"/>
    <w:rsid w:val="00B9216F"/>
    <w:rsid w:val="00CA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E"/>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743EEE"/>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743EEE"/>
    <w:rPr>
      <w:rFonts w:eastAsia="Times New Roman" w:cs="Calibri"/>
      <w:b/>
      <w:bCs/>
      <w:szCs w:val="26"/>
      <w:lang w:eastAsia="en-AU"/>
    </w:rPr>
  </w:style>
  <w:style w:type="paragraph" w:styleId="BodyTextIndent">
    <w:name w:val="Body Text Indent"/>
    <w:basedOn w:val="Normal"/>
    <w:link w:val="BodyTextIndentChar"/>
    <w:rsid w:val="00743EEE"/>
    <w:pPr>
      <w:ind w:left="720" w:hanging="720"/>
      <w:jc w:val="both"/>
    </w:pPr>
    <w:rPr>
      <w:sz w:val="24"/>
      <w:szCs w:val="20"/>
      <w:lang w:eastAsia="en-US"/>
    </w:rPr>
  </w:style>
  <w:style w:type="character" w:customStyle="1" w:styleId="BodyTextIndentChar">
    <w:name w:val="Body Text Indent Char"/>
    <w:basedOn w:val="DefaultParagraphFont"/>
    <w:link w:val="BodyTextIndent"/>
    <w:rsid w:val="00743EEE"/>
    <w:rPr>
      <w:rFonts w:eastAsia="Times New Roman" w:cs="Calibri"/>
      <w:sz w:val="24"/>
      <w:szCs w:val="20"/>
    </w:rPr>
  </w:style>
  <w:style w:type="paragraph" w:styleId="BalloonText">
    <w:name w:val="Balloon Text"/>
    <w:basedOn w:val="Normal"/>
    <w:link w:val="BalloonTextChar"/>
    <w:uiPriority w:val="99"/>
    <w:semiHidden/>
    <w:unhideWhenUsed/>
    <w:rsid w:val="00B921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6F"/>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EEE"/>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743EEE"/>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743EEE"/>
    <w:rPr>
      <w:rFonts w:eastAsia="Times New Roman" w:cs="Calibri"/>
      <w:b/>
      <w:bCs/>
      <w:szCs w:val="26"/>
      <w:lang w:eastAsia="en-AU"/>
    </w:rPr>
  </w:style>
  <w:style w:type="paragraph" w:styleId="BodyTextIndent">
    <w:name w:val="Body Text Indent"/>
    <w:basedOn w:val="Normal"/>
    <w:link w:val="BodyTextIndentChar"/>
    <w:rsid w:val="00743EEE"/>
    <w:pPr>
      <w:ind w:left="720" w:hanging="720"/>
      <w:jc w:val="both"/>
    </w:pPr>
    <w:rPr>
      <w:sz w:val="24"/>
      <w:szCs w:val="20"/>
      <w:lang w:eastAsia="en-US"/>
    </w:rPr>
  </w:style>
  <w:style w:type="character" w:customStyle="1" w:styleId="BodyTextIndentChar">
    <w:name w:val="Body Text Indent Char"/>
    <w:basedOn w:val="DefaultParagraphFont"/>
    <w:link w:val="BodyTextIndent"/>
    <w:rsid w:val="00743EEE"/>
    <w:rPr>
      <w:rFonts w:eastAsia="Times New Roman" w:cs="Calibri"/>
      <w:sz w:val="24"/>
      <w:szCs w:val="20"/>
    </w:rPr>
  </w:style>
  <w:style w:type="paragraph" w:styleId="BalloonText">
    <w:name w:val="Balloon Text"/>
    <w:basedOn w:val="Normal"/>
    <w:link w:val="BalloonTextChar"/>
    <w:uiPriority w:val="99"/>
    <w:semiHidden/>
    <w:unhideWhenUsed/>
    <w:rsid w:val="00B9216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16F"/>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2018-01-25T03:31:00Z</dcterms:created>
  <dcterms:modified xsi:type="dcterms:W3CDTF">2018-02-06T05:21:00Z</dcterms:modified>
</cp:coreProperties>
</file>